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25EB" w:rsidRPr="003A6108" w:rsidRDefault="007B25EB" w:rsidP="003A6A9E">
      <w:pPr>
        <w:pStyle w:val="Bodytext30"/>
        <w:widowControl/>
        <w:shd w:val="clear" w:color="auto" w:fill="auto"/>
        <w:spacing w:after="38" w:line="240" w:lineRule="auto"/>
        <w:jc w:val="both"/>
        <w:rPr>
          <w:rFonts w:ascii="Times New Roman" w:hAnsi="Times New Roman" w:cs="Times New Roman"/>
          <w:lang w:val="sl-SI"/>
        </w:rPr>
      </w:pPr>
      <w:r w:rsidRPr="003A6108">
        <w:rPr>
          <w:rFonts w:ascii="Times New Roman" w:hAnsi="Times New Roman"/>
          <w:lang w:val="sl-SI"/>
        </w:rPr>
        <w:t>Simulacija podnebnega ukrepanja: Oskrba s konvencionalno energijo</w:t>
      </w:r>
    </w:p>
    <w:p w:rsidR="007B25EB" w:rsidRPr="003A6108" w:rsidRDefault="007B25EB" w:rsidP="003A6A9E">
      <w:pPr>
        <w:pStyle w:val="Bodytext30"/>
        <w:widowControl/>
        <w:shd w:val="clear" w:color="auto" w:fill="auto"/>
        <w:spacing w:after="38" w:line="240" w:lineRule="auto"/>
        <w:rPr>
          <w:rFonts w:ascii="Times New Roman" w:hAnsi="Times New Roman" w:cs="Times New Roman"/>
          <w:lang w:val="sl-SI"/>
        </w:rPr>
      </w:pPr>
    </w:p>
    <w:p w:rsidR="007B25EB" w:rsidRPr="003A6108" w:rsidRDefault="007B25EB" w:rsidP="003A6A9E">
      <w:pPr>
        <w:pStyle w:val="Bodytext40"/>
        <w:widowControl/>
        <w:shd w:val="clear" w:color="auto" w:fill="auto"/>
        <w:tabs>
          <w:tab w:val="left" w:pos="1440"/>
        </w:tabs>
        <w:spacing w:line="240" w:lineRule="auto"/>
        <w:rPr>
          <w:lang w:val="sl-SI"/>
        </w:rPr>
      </w:pPr>
      <w:r w:rsidRPr="003A6108">
        <w:rPr>
          <w:lang w:val="sl-SI"/>
        </w:rPr>
        <w:t>Naslovnik:</w:t>
      </w:r>
      <w:r w:rsidRPr="003A6108">
        <w:rPr>
          <w:lang w:val="sl-SI"/>
        </w:rPr>
        <w:tab/>
        <w:t>Glavni pogajalci za industrijo konvencionalne energije</w:t>
      </w:r>
    </w:p>
    <w:p w:rsidR="007B25EB" w:rsidRDefault="007B25EB" w:rsidP="003A6A9E">
      <w:pPr>
        <w:pStyle w:val="Bodytext40"/>
        <w:widowControl/>
        <w:shd w:val="clear" w:color="auto" w:fill="auto"/>
        <w:tabs>
          <w:tab w:val="left" w:pos="1440"/>
        </w:tabs>
        <w:spacing w:after="120" w:line="240" w:lineRule="auto"/>
        <w:rPr>
          <w:lang w:val="sl-SI"/>
        </w:rPr>
      </w:pPr>
      <w:r w:rsidRPr="003A6108">
        <w:rPr>
          <w:lang w:val="sl-SI"/>
        </w:rPr>
        <w:t>Zadeva:</w:t>
      </w:r>
      <w:r w:rsidRPr="003A6108">
        <w:rPr>
          <w:lang w:val="sl-SI"/>
        </w:rPr>
        <w:tab/>
        <w:t>Priprava na vrh o podnebnih ukrepih</w:t>
      </w:r>
    </w:p>
    <w:p w:rsidR="007B25EB" w:rsidRPr="003A6108" w:rsidRDefault="007B25EB" w:rsidP="003A6A9E">
      <w:pPr>
        <w:widowControl/>
        <w:spacing w:after="120"/>
        <w:jc w:val="both"/>
        <w:rPr>
          <w:sz w:val="22"/>
          <w:szCs w:val="22"/>
        </w:rPr>
      </w:pPr>
      <w:r w:rsidRPr="003A6108">
        <w:rPr>
          <w:sz w:val="22"/>
          <w:szCs w:val="22"/>
        </w:rPr>
        <w:t xml:space="preserve">Dobrodošli na vrhu o podnebnih ukrepih. Generalni sekretar OZN vas je skupaj z voditelji vseh pomembnih deležnikov povabil k sodelovanju, da bi uspešno rešili vprašanje podnebnih sprememb. V vabilu je generalni sekretar </w:t>
      </w:r>
      <w:r w:rsidRPr="003A6108">
        <w:rPr>
          <w:rStyle w:val="Bodytext20"/>
          <w:rFonts w:eastAsia="Arial"/>
        </w:rPr>
        <w:t>zapisal</w:t>
      </w:r>
      <w:r w:rsidRPr="003A6108">
        <w:rPr>
          <w:sz w:val="22"/>
          <w:szCs w:val="22"/>
        </w:rPr>
        <w:t>, da „je podnebna kriza tekma, ki jo izgubljamo, a hkrati tekma, ki jo lahko dobimo. [...] Najboljše znanstvene raziskave kažejo, da bo zvišanje temperature za več kot 1,5 °C povzročilo obsežno in nepopravljivo škodo ekosistemom, ki nas vzdržujejo. [...] A znanstveniki nam hkrati tudi sporočajo, da še ni prepozno.</w:t>
      </w:r>
    </w:p>
    <w:p w:rsidR="007B25EB" w:rsidRPr="003A6108" w:rsidRDefault="007B25EB" w:rsidP="003A6A9E">
      <w:pPr>
        <w:widowControl/>
        <w:spacing w:after="120"/>
        <w:jc w:val="both"/>
        <w:rPr>
          <w:sz w:val="22"/>
          <w:szCs w:val="22"/>
        </w:rPr>
      </w:pPr>
      <w:r w:rsidRPr="003A6108">
        <w:rPr>
          <w:sz w:val="22"/>
          <w:szCs w:val="22"/>
        </w:rPr>
        <w:t>Lahko nam uspe [...], vendar bo za to treba temeljito preoblikovati vse vidike družbe – kako pridobivamo hrano in izkoriščamo zemljišča, katero gorivo uporabljajo naša vozila in kaj poganja naša gospodarstva. [...] Če bomo ukrepali skupaj, nihče ne bo zapostavljen.“</w:t>
      </w:r>
    </w:p>
    <w:p w:rsidR="007B25EB" w:rsidRPr="003A6108" w:rsidRDefault="007B25EB" w:rsidP="003A6A9E">
      <w:pPr>
        <w:widowControl/>
        <w:spacing w:after="120"/>
        <w:jc w:val="both"/>
        <w:rPr>
          <w:sz w:val="22"/>
          <w:szCs w:val="22"/>
        </w:rPr>
      </w:pPr>
      <w:r w:rsidRPr="003A6108">
        <w:rPr>
          <w:sz w:val="22"/>
          <w:szCs w:val="22"/>
        </w:rPr>
        <w:t xml:space="preserve">Cilj vrha je pripraviti načrt za omejitev segrevanja planeta na manj kot 2 °C [3,6 °F] nad predindustrijsko ravnjo in si prizadevati za omejitev zvišanja temperature na 1,5 °C [2,7 °F], kar sta uradna mednarodna cilja iz Pariškega sporazuma o podnebnih spremembah. </w:t>
      </w:r>
      <w:r w:rsidRPr="003A6108">
        <w:rPr>
          <w:rStyle w:val="Bodytext20"/>
          <w:rFonts w:eastAsia="Arial"/>
        </w:rPr>
        <w:t>Znanstveni dokazi</w:t>
      </w:r>
      <w:r w:rsidRPr="003A6108">
        <w:rPr>
          <w:sz w:val="22"/>
          <w:szCs w:val="22"/>
        </w:rPr>
        <w:t xml:space="preserve"> so jasni: segrevanje nad to mejo bo sprožilo katastrofalne in nepopravljive posledice, ki bodo ogrozile zdravje, blaginjo in življenje ljudi v vseh državah.</w:t>
      </w:r>
    </w:p>
    <w:p w:rsidR="007B25EB" w:rsidRPr="003A6108" w:rsidRDefault="007B25EB" w:rsidP="003A6A9E">
      <w:pPr>
        <w:widowControl/>
        <w:spacing w:after="120"/>
        <w:jc w:val="both"/>
        <w:rPr>
          <w:sz w:val="22"/>
          <w:szCs w:val="22"/>
        </w:rPr>
      </w:pPr>
      <w:r w:rsidRPr="003A6108">
        <w:rPr>
          <w:sz w:val="22"/>
          <w:szCs w:val="22"/>
        </w:rPr>
        <w:t>Zastopate panoge premoga, nafte, zemeljskega plina, jedrske energije in elektrarn, ki oskrbujejo svet z večino energije, ki je trenutno potrebuje. V vaši skupini so predstavniki zasebnih in državnih podjetij na področju nafte, plina in premoga, elektrarn, ki so odvisne od fosilnih goriv, ter podjetij, ki zanje opravljajo storitve in jim dobavljajo opremo.</w:t>
      </w:r>
    </w:p>
    <w:p w:rsidR="007B25EB" w:rsidRPr="003A6108" w:rsidRDefault="007B25EB" w:rsidP="003A6A9E">
      <w:pPr>
        <w:widowControl/>
        <w:spacing w:after="120"/>
        <w:jc w:val="both"/>
        <w:rPr>
          <w:sz w:val="22"/>
          <w:szCs w:val="22"/>
        </w:rPr>
      </w:pPr>
      <w:r w:rsidRPr="003A6108">
        <w:rPr>
          <w:sz w:val="22"/>
          <w:szCs w:val="22"/>
        </w:rPr>
        <w:t>V nadaljevanju so naštete vaše prednostne politike – predlagate ali zavrnete lahko katero koli.</w:t>
      </w:r>
    </w:p>
    <w:p w:rsidR="007B25EB" w:rsidRPr="003A6108" w:rsidRDefault="007B25EB" w:rsidP="003A6A9E">
      <w:pPr>
        <w:widowControl/>
        <w:numPr>
          <w:ilvl w:val="0"/>
          <w:numId w:val="2"/>
        </w:numPr>
        <w:tabs>
          <w:tab w:val="left" w:pos="362"/>
        </w:tabs>
        <w:spacing w:after="120"/>
        <w:ind w:left="400" w:right="-1" w:hanging="400"/>
        <w:jc w:val="both"/>
        <w:rPr>
          <w:sz w:val="22"/>
          <w:szCs w:val="22"/>
        </w:rPr>
      </w:pPr>
      <w:r w:rsidRPr="003A6108">
        <w:rPr>
          <w:rStyle w:val="Bodytext2Bold"/>
        </w:rPr>
        <w:t xml:space="preserve">Nasprotovati je treba visoki ceni ogljika. </w:t>
      </w:r>
      <w:r w:rsidRPr="003A6108">
        <w:rPr>
          <w:sz w:val="22"/>
          <w:szCs w:val="22"/>
        </w:rPr>
        <w:t>Vaši ekonomisti priznavajo, da bi lahko bilo zvišanje cen fosilnih goriv, da bi cena ogljika odražala okoljske in družbene stroške emisij toplogrednih plinov, najboljši način za zmanjšanje svetovnih emisij teh plinov. Cena ogljika nad 25–30 USD na tono CO</w:t>
      </w:r>
      <w:r w:rsidRPr="003A6108">
        <w:rPr>
          <w:sz w:val="22"/>
          <w:szCs w:val="22"/>
          <w:vertAlign w:val="subscript"/>
        </w:rPr>
        <w:t>2</w:t>
      </w:r>
      <w:r w:rsidRPr="003A6108">
        <w:rPr>
          <w:sz w:val="22"/>
          <w:szCs w:val="22"/>
        </w:rPr>
        <w:t xml:space="preserve"> pa bi industriji fosilnih goriv povzročila nesprejemljivo škodo zaradi višjih stroškov in korenitega zmanjšanja povpraševanja, kar bi pomenilo nasedle naložbe in izgubo vrednosti za delničarje. Nekatere naftne družbe sicer javno trdijo, da so naklonjene ceni ogljika, vendar vaša industrijska panoga še naprej financira politike, ki ji nasprotujejo in ovirajo ukrepanje. Pričakujete, da se bodo druge skupine močno zavzemale za uveljavitev cene ogljika. Odločno nastopite proti tej politiki.</w:t>
      </w:r>
    </w:p>
    <w:p w:rsidR="007B25EB" w:rsidRPr="003A6108" w:rsidRDefault="007B25EB" w:rsidP="003A6A9E">
      <w:pPr>
        <w:widowControl/>
        <w:numPr>
          <w:ilvl w:val="0"/>
          <w:numId w:val="2"/>
        </w:numPr>
        <w:tabs>
          <w:tab w:val="left" w:pos="362"/>
        </w:tabs>
        <w:spacing w:after="120"/>
        <w:ind w:left="400" w:right="-1" w:hanging="400"/>
        <w:jc w:val="both"/>
        <w:rPr>
          <w:sz w:val="22"/>
          <w:szCs w:val="22"/>
        </w:rPr>
      </w:pPr>
      <w:r w:rsidRPr="003A6108">
        <w:rPr>
          <w:rStyle w:val="Bodytext2Bold"/>
        </w:rPr>
        <w:t xml:space="preserve">Nasprotovati je treba davkom na fosilna goriva. </w:t>
      </w:r>
      <w:r w:rsidRPr="003A6108">
        <w:rPr>
          <w:sz w:val="22"/>
          <w:szCs w:val="22"/>
        </w:rPr>
        <w:t>Vaša industrijska panoga noče ne sprejeti urejanja s predpisi ne plačati stroškov za blažitev podnebnih sprememb. Svet bo v naslednjem stoletju opuščal fosilna goriva, zato že pričakujete precejšnje poslovne izgube in ne morete prevzeti še bremena dodatnih stroškov, ki nepravično kaznujejo vašo panogo. Lahko bi celo prosili za subvencije za zemeljski plin, ki ga promovirate kot premostitveno gorivo, saj je ogljično manj intenziven od premoga in nafte. Če je regulacija neizogibna, je bolje omejiti premog kot nafto in plin. Premog pri gorenju oddaja največ ogljika, hkrati pa ustvarja manj dobička kot nafta in plin.</w:t>
      </w:r>
    </w:p>
    <w:p w:rsidR="007B25EB" w:rsidRPr="003A6108" w:rsidRDefault="007B25EB" w:rsidP="003A6A9E">
      <w:pPr>
        <w:widowControl/>
        <w:numPr>
          <w:ilvl w:val="0"/>
          <w:numId w:val="2"/>
        </w:numPr>
        <w:spacing w:after="120"/>
        <w:ind w:left="400" w:right="-1" w:hanging="400"/>
        <w:jc w:val="both"/>
        <w:rPr>
          <w:sz w:val="22"/>
          <w:szCs w:val="22"/>
        </w:rPr>
      </w:pPr>
      <w:r w:rsidRPr="003A6108">
        <w:rPr>
          <w:b/>
          <w:sz w:val="22"/>
          <w:szCs w:val="22"/>
        </w:rPr>
        <w:t>Promovirati je treba nove tehnologije, vključno s tehnologijami za odstranjevanje ogljika, zajemanje in shranjevanje ogljika ter biogoriva.</w:t>
      </w:r>
    </w:p>
    <w:p w:rsidR="007B25EB" w:rsidRPr="003A6108" w:rsidRDefault="007B25EB" w:rsidP="003A6A9E">
      <w:pPr>
        <w:widowControl/>
        <w:spacing w:after="120"/>
        <w:ind w:left="400"/>
        <w:jc w:val="both"/>
        <w:rPr>
          <w:sz w:val="22"/>
          <w:szCs w:val="22"/>
        </w:rPr>
      </w:pPr>
      <w:r w:rsidRPr="003A6108">
        <w:rPr>
          <w:sz w:val="22"/>
          <w:szCs w:val="22"/>
        </w:rPr>
        <w:t>Vaša industrijska panoga podpira večjo uporabo zemeljskega plina in biogoriv ter raziskave za razvoj tehnologije za odstranjevanje ogljika, s katero se ogljik odstrani iz ozračja in shrani pod zemljo.</w:t>
      </w:r>
      <w:r w:rsidRPr="003A6108">
        <w:rPr>
          <w:i/>
          <w:iCs/>
          <w:sz w:val="22"/>
          <w:szCs w:val="22"/>
        </w:rPr>
        <w:t xml:space="preserve"> </w:t>
      </w:r>
      <w:r w:rsidRPr="003A6108">
        <w:rPr>
          <w:iCs/>
          <w:sz w:val="22"/>
          <w:szCs w:val="22"/>
        </w:rPr>
        <w:t>Pri teh gorivih in panogah bi lahko uporabili svoje strokovno znanje na področju obsežnih inženirskih projektov, geologije in prevoza goriva. Podpirate tudi tehnologijo zajemanja in shranjevanja ogljika za termoelektrarne in druge elektrarne, ter biogoriva, ki bi jo uporabljala.</w:t>
      </w:r>
      <w:r w:rsidRPr="003A6108">
        <w:rPr>
          <w:i/>
          <w:iCs/>
          <w:sz w:val="22"/>
          <w:szCs w:val="22"/>
        </w:rPr>
        <w:t xml:space="preserve"> </w:t>
      </w:r>
      <w:r w:rsidRPr="003A6108">
        <w:rPr>
          <w:sz w:val="22"/>
          <w:szCs w:val="22"/>
        </w:rPr>
        <w:t>S tehnologijo za zajemanje in shranjevanje ogljika bi lahko zajeli 90 % CO</w:t>
      </w:r>
      <w:r w:rsidRPr="003A6108">
        <w:rPr>
          <w:sz w:val="22"/>
          <w:szCs w:val="22"/>
          <w:vertAlign w:val="subscript"/>
        </w:rPr>
        <w:t>2</w:t>
      </w:r>
      <w:r w:rsidRPr="003A6108">
        <w:rPr>
          <w:sz w:val="22"/>
          <w:szCs w:val="22"/>
        </w:rPr>
        <w:t xml:space="preserve">, ki nastane pri zgorevanju </w:t>
      </w:r>
      <w:r w:rsidRPr="003A6108">
        <w:rPr>
          <w:sz w:val="22"/>
          <w:szCs w:val="22"/>
        </w:rPr>
        <w:lastRenderedPageBreak/>
        <w:t>fosilnih goriv v elektrarnah in industrijskih procesih. Zajeti CO</w:t>
      </w:r>
      <w:r w:rsidRPr="003A6108">
        <w:rPr>
          <w:sz w:val="22"/>
          <w:szCs w:val="22"/>
          <w:vertAlign w:val="subscript"/>
        </w:rPr>
        <w:t>2</w:t>
      </w:r>
      <w:r w:rsidRPr="003A6108">
        <w:rPr>
          <w:sz w:val="22"/>
          <w:szCs w:val="22"/>
        </w:rPr>
        <w:t xml:space="preserve"> se lahko nato utekočini in prečrpa pod zemljo za izboljšanje proizvodnje nafte in plina, ali – kar je manj dobičkonosno – v geološke rezervoarje, za katere trdite, da so stabilni. Tehnologija za odstranjevanje ogljika, če bo izvedljiva in stroškovno konkurenčna, bo pomagala vaši panogi, saj bo CO</w:t>
      </w:r>
      <w:r w:rsidRPr="003A6108">
        <w:rPr>
          <w:sz w:val="22"/>
          <w:szCs w:val="22"/>
          <w:vertAlign w:val="subscript"/>
        </w:rPr>
        <w:t>2</w:t>
      </w:r>
      <w:r w:rsidRPr="003A6108">
        <w:rPr>
          <w:sz w:val="22"/>
          <w:szCs w:val="22"/>
        </w:rPr>
        <w:t xml:space="preserve"> mogoče odstraniti iz ozračja ter s tem izravnati emisije iz nadaljnje uporabe fosilnih goriv.</w:t>
      </w:r>
    </w:p>
    <w:p w:rsidR="007B25EB" w:rsidRPr="003A6108" w:rsidRDefault="007B25EB" w:rsidP="003A6A9E">
      <w:pPr>
        <w:widowControl/>
        <w:numPr>
          <w:ilvl w:val="0"/>
          <w:numId w:val="2"/>
        </w:numPr>
        <w:spacing w:after="120"/>
        <w:ind w:left="400" w:right="-1" w:hanging="400"/>
        <w:jc w:val="both"/>
        <w:rPr>
          <w:sz w:val="22"/>
          <w:szCs w:val="22"/>
        </w:rPr>
      </w:pPr>
      <w:r w:rsidRPr="003A6108">
        <w:rPr>
          <w:b/>
          <w:sz w:val="22"/>
          <w:szCs w:val="22"/>
        </w:rPr>
        <w:t>Spodbujati je treba ukrepe, ki neposredno ne vplivajo na vašo industrijsko panogo.</w:t>
      </w:r>
      <w:r w:rsidRPr="003A6108">
        <w:rPr>
          <w:sz w:val="22"/>
          <w:szCs w:val="22"/>
        </w:rPr>
        <w:t xml:space="preserve"> Razumete sicer, da so podnebne spremembe nevarne, vendar morate zavarovati tudi vrednost za delničarje. Zato se zavzemate za politike, s katerimi bi lahko zmanjšali emisije toplogrednih plinov, ne da bi zmanjšali uporabo fosilnih goriv. K spreminjanju podnebja sicer največ prispeva CO</w:t>
      </w:r>
      <w:r w:rsidRPr="003A6108">
        <w:rPr>
          <w:sz w:val="22"/>
          <w:szCs w:val="22"/>
          <w:vertAlign w:val="subscript"/>
        </w:rPr>
        <w:t>2</w:t>
      </w:r>
      <w:r w:rsidRPr="003A6108">
        <w:rPr>
          <w:sz w:val="22"/>
          <w:szCs w:val="22"/>
        </w:rPr>
        <w:t xml:space="preserve"> iz uporabe fosilnih goriv, vendar narašča tudi učinek drugih močnih toplogrednih plinov, kot so metan (CH</w:t>
      </w:r>
      <w:r w:rsidRPr="003A6108">
        <w:rPr>
          <w:sz w:val="22"/>
          <w:szCs w:val="22"/>
          <w:vertAlign w:val="subscript"/>
        </w:rPr>
        <w:t>4</w:t>
      </w:r>
      <w:r w:rsidRPr="003A6108">
        <w:rPr>
          <w:sz w:val="22"/>
          <w:szCs w:val="22"/>
        </w:rPr>
        <w:t>), dušikov oksid (N</w:t>
      </w:r>
      <w:r w:rsidRPr="003A6108">
        <w:rPr>
          <w:sz w:val="22"/>
          <w:szCs w:val="22"/>
          <w:vertAlign w:val="subscript"/>
        </w:rPr>
        <w:t>2</w:t>
      </w:r>
      <w:r w:rsidRPr="003A6108">
        <w:rPr>
          <w:sz w:val="22"/>
          <w:szCs w:val="22"/>
        </w:rPr>
        <w:t>O) in drugi. K emisijam teh plinov v veliki meri prispevajo kmetijske in gozdarske prakse po svetu. Podpirate politike za zmanjšanje teh drugih toplogrednih plinov, pri čemer gre predvsem za emisije iz rabe zemljišč, kmetijstva in gozdarstva. Podpirate prizadevanja za zmanjšanje krčenja gozdov in za pogozdovanje degradiranih zemljišč in zemljišč s skrčenim gozdom.</w:t>
      </w:r>
    </w:p>
    <w:p w:rsidR="007B25EB" w:rsidRPr="003A6108" w:rsidRDefault="007B25EB" w:rsidP="003A6A9E">
      <w:pPr>
        <w:pStyle w:val="Bodytext60"/>
        <w:widowControl/>
        <w:shd w:val="clear" w:color="auto" w:fill="auto"/>
        <w:spacing w:before="0" w:after="120" w:line="240" w:lineRule="auto"/>
        <w:rPr>
          <w:lang w:val="sl-SI"/>
        </w:rPr>
      </w:pPr>
      <w:r w:rsidRPr="003A6108">
        <w:rPr>
          <w:lang w:val="sl-SI"/>
        </w:rPr>
        <w:t>Dodatni poudarki</w:t>
      </w:r>
    </w:p>
    <w:p w:rsidR="007B25EB" w:rsidRPr="003A6108" w:rsidRDefault="007B25EB" w:rsidP="003A6A9E">
      <w:pPr>
        <w:widowControl/>
        <w:spacing w:after="120"/>
        <w:jc w:val="both"/>
        <w:rPr>
          <w:sz w:val="22"/>
          <w:szCs w:val="22"/>
        </w:rPr>
      </w:pPr>
      <w:r w:rsidRPr="003A6108">
        <w:rPr>
          <w:sz w:val="22"/>
          <w:szCs w:val="22"/>
        </w:rPr>
        <w:t>Vaši strokovnjaki za podnebje se strinjajo z oceno Medvladnega panela za podnebne spremembe o nevarnosti podnebnih sprememb. Nujnost preprečevanja nevarnih podnebnih sprememb pa morate uravnotežiti s potrebami vaših ključnih deležnikov, ki vključujejo vaše delničarje, zaposlene, javnost (vaše stranke), oblikovalce politik, ki vam dajejo licence za delovanje, s predpisi urejajo vašo industrijsko panogo in vplivajo na vaše stroške delovanja – nazadnje pa morate upoštevati tudi lastne finančne interese, ki jih imate kot voditelji teh družb.</w:t>
      </w:r>
    </w:p>
    <w:p w:rsidR="007B25EB" w:rsidRPr="003A6108" w:rsidRDefault="007B25EB" w:rsidP="003A6A9E">
      <w:pPr>
        <w:widowControl/>
        <w:spacing w:after="120"/>
        <w:jc w:val="both"/>
        <w:rPr>
          <w:sz w:val="22"/>
          <w:szCs w:val="22"/>
        </w:rPr>
      </w:pPr>
      <w:r w:rsidRPr="003A6108">
        <w:rPr>
          <w:sz w:val="22"/>
          <w:szCs w:val="22"/>
        </w:rPr>
        <w:t>S konvencionalnimi viri energije, vključno s fosilnimi gorivi in jedrsko energijo, se pokrije več kot 95 % svetovnih potreb po energiji. Vaša industrijska panoga potrošnikom zgolj daje, kar hočejo, in ne bi je smeli kriviti za podnebne spremembe ali je zaradi njih kaznovati. Zmanjšanje uporabe fosilnih goriv utegne potrošnike in gospodarstvo kratkoročno drago stati. V velikem delu sveta je infrastruktura fosilnih goriv že vzpostavljena, in v številnih državah v razvoju se še vedno hitro razvijajo nove zmogljivosti za energijo iz fosilnih virov. Obnovljivi viri, kot sta veter in sonce, so nestalni in z njimi še ne moremo poganjati svetovnega gospodarstva. Zagovarjate stališče, da so fosilna goriva bistvena za odpravljanje „energijske revščine“ in poganjanje gospodarske rasti, zlasti v državah v razvoju. Ne dopustite, da vas okoljski aktivisti označijo za ljudi, ki se ne zmenijo za socialno pravičnost.</w:t>
      </w:r>
    </w:p>
    <w:p w:rsidR="007B25EB" w:rsidRPr="003A6108" w:rsidRDefault="007B25EB" w:rsidP="003A6A9E">
      <w:pPr>
        <w:widowControl/>
        <w:spacing w:after="120"/>
        <w:jc w:val="both"/>
        <w:rPr>
          <w:sz w:val="22"/>
          <w:szCs w:val="22"/>
        </w:rPr>
      </w:pPr>
      <w:r w:rsidRPr="003A6108">
        <w:rPr>
          <w:sz w:val="22"/>
          <w:szCs w:val="22"/>
        </w:rPr>
        <w:t>Proizvajalci fosilnih goriv, vključno s podjetji za premog, nafto in plin, bodo v hudih finančnih težavah, če bodo uvedene politike za omejitev segrevanja planeta na temperaturo blizu 2 °C. Podjetja, ki so odvisna od fosilnih goriv, se bodo morala začeti ukvarjati s čim drugim ali pa bodo propadla. Omejitev segrevanja na 2 °C pomeni, da bo velik del znanih zalog fosilnih goriv ostal pod zemljo kot nasedla naložba in nikoli ne bo prinesel dobička delničarjem ali vladam. Izgubljena bodo tudi številna delovna mesta.</w:t>
      </w:r>
      <w:bookmarkStart w:id="0" w:name="_GoBack"/>
      <w:bookmarkEnd w:id="0"/>
    </w:p>
    <w:p w:rsidR="007B25EB" w:rsidRPr="003A6108" w:rsidRDefault="007B25EB" w:rsidP="003A6A9E">
      <w:pPr>
        <w:widowControl/>
        <w:spacing w:after="120"/>
        <w:jc w:val="both"/>
        <w:rPr>
          <w:sz w:val="22"/>
          <w:szCs w:val="22"/>
        </w:rPr>
      </w:pPr>
      <w:r w:rsidRPr="003A6108">
        <w:rPr>
          <w:sz w:val="22"/>
          <w:szCs w:val="22"/>
        </w:rPr>
        <w:t>Hkrati se zavedate, da je treba svetovne emisije omejiti, če hočemo preprečiti najhujše posledice podnebnih sprememb. Dvig morske gladine, vse bolj skrajni vremenski pojavi in geopolitične selitve, ki bodo sledile, resno ogrožajo obstoječe naložbe v oskrbo z energijo in svetovno gospodarstvo. Z vse večjo podnebno škodo se povečuje tudi verjetnost skrajnih politik in predpisov, ki bi škodili fosilni industriji. Ukrepajte, da se takšne politike in predpisi preprečijo, hkrati pa morate tudi raziskati, kako bi lahko svojo infrastrukturo, finančni kapital in strokovno znanje uporabili, da bi tekmovali – in preživeli – v svetu, ki se segreva.</w:t>
      </w:r>
    </w:p>
    <w:p w:rsidR="007B25EB" w:rsidRPr="003A6108" w:rsidRDefault="007B25EB" w:rsidP="003A6A9E">
      <w:pPr>
        <w:widowControl/>
        <w:spacing w:after="120"/>
        <w:jc w:val="both"/>
        <w:rPr>
          <w:sz w:val="22"/>
          <w:szCs w:val="22"/>
        </w:rPr>
      </w:pPr>
    </w:p>
    <w:p w:rsidR="007B25EB" w:rsidRPr="003A6108" w:rsidRDefault="007B25EB" w:rsidP="003A6A9E">
      <w:pPr>
        <w:widowControl/>
        <w:jc w:val="center"/>
        <w:rPr>
          <w:sz w:val="22"/>
          <w:szCs w:val="22"/>
        </w:rPr>
      </w:pPr>
      <w:r w:rsidRPr="003A6108">
        <w:rPr>
          <w:sz w:val="22"/>
          <w:szCs w:val="22"/>
        </w:rPr>
        <w:t>_____________</w:t>
      </w:r>
    </w:p>
    <w:p w:rsidR="007B25EB" w:rsidRPr="003A6108" w:rsidRDefault="007B25EB" w:rsidP="003A6A9E">
      <w:pPr>
        <w:widowControl/>
        <w:spacing w:after="120"/>
        <w:jc w:val="both"/>
        <w:rPr>
          <w:sz w:val="22"/>
          <w:szCs w:val="22"/>
        </w:rPr>
      </w:pPr>
    </w:p>
    <w:sectPr w:rsidR="007B25EB" w:rsidRPr="003A6108" w:rsidSect="00934588">
      <w:footerReference w:type="default" r:id="rId7"/>
      <w:pgSz w:w="11907" w:h="16840" w:code="9"/>
      <w:pgMar w:top="1417" w:right="1417" w:bottom="1417" w:left="1417"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25EB" w:rsidRDefault="007B25EB">
      <w:r>
        <w:separator/>
      </w:r>
    </w:p>
  </w:endnote>
  <w:endnote w:type="continuationSeparator" w:id="0">
    <w:p w:rsidR="007B25EB" w:rsidRDefault="007B2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588" w:rsidRPr="00934588" w:rsidRDefault="00F55F73" w:rsidP="00934588">
    <w:pPr>
      <w:pStyle w:val="Footer"/>
      <w:rPr>
        <w:i/>
        <w:sz w:val="20"/>
        <w:szCs w:val="20"/>
      </w:rPr>
    </w:pPr>
    <w:r>
      <w:rPr>
        <w:i/>
        <w:sz w:val="20"/>
        <w:szCs w:val="20"/>
      </w:rPr>
      <w:t xml:space="preserve">Razvili: Climate Interactive, MIT Sloan School of Management Sustainability Initiative, ESB Business School in UMass Lowell Climate Change </w:t>
    </w:r>
    <w:r>
      <w:rPr>
        <w:i/>
        <w:sz w:val="20"/>
        <w:szCs w:val="20"/>
      </w:rPr>
      <w:t xml:space="preserve">Initiative. Zadnja posodobitev: september 2019. </w:t>
    </w:r>
    <w:hyperlink r:id="rId1" w:history="1">
      <w:r>
        <w:rPr>
          <w:rStyle w:val="Hyperlink"/>
          <w:i/>
          <w:sz w:val="20"/>
          <w:szCs w:val="20"/>
        </w:rPr>
        <w:t>www.climateinteractive.org</w:t>
      </w:r>
    </w:hyperlink>
    <w:r>
      <w:rPr>
        <w:i/>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25EB" w:rsidRDefault="007B25EB">
      <w:r>
        <w:separator/>
      </w:r>
    </w:p>
  </w:footnote>
  <w:footnote w:type="continuationSeparator" w:id="0">
    <w:p w:rsidR="007B25EB" w:rsidRDefault="007B25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31F67507"/>
    <w:multiLevelType w:val="multilevel"/>
    <w:tmpl w:val="D7A450A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10"/>
  <w:drawingGridVerticalSpacing w:val="299"/>
  <w:displayHorizont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25EB"/>
    <w:rsid w:val="00005DE0"/>
    <w:rsid w:val="00295308"/>
    <w:rsid w:val="003A6108"/>
    <w:rsid w:val="003A6A9E"/>
    <w:rsid w:val="00474E33"/>
    <w:rsid w:val="00525110"/>
    <w:rsid w:val="00741838"/>
    <w:rsid w:val="0074515A"/>
    <w:rsid w:val="007B25EB"/>
    <w:rsid w:val="00815995"/>
    <w:rsid w:val="008B2610"/>
    <w:rsid w:val="009441C7"/>
    <w:rsid w:val="009A5303"/>
    <w:rsid w:val="009A6695"/>
    <w:rsid w:val="00BE33B4"/>
    <w:rsid w:val="00D01AED"/>
    <w:rsid w:val="00DA4DA4"/>
    <w:rsid w:val="00F44330"/>
    <w:rsid w:val="00F55F73"/>
    <w:rsid w:val="00FD5FA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A09081"/>
  <w15:docId w15:val="{039173D5-8D97-44F5-BB8C-522461BF5871}"/>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pPr>
        <w:spacing w:line="288" w:lineRule="auto"/>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B25EB"/>
    <w:pPr>
      <w:widowControl w:val="0"/>
      <w:spacing w:line="240" w:lineRule="auto"/>
      <w:jc w:val="left"/>
    </w:pPr>
    <w:rPr>
      <w:color w:val="000000"/>
      <w:sz w:val="24"/>
      <w:szCs w:val="24"/>
      <w:lang w:val="sl-SI" w:bidi="en-US"/>
    </w:rPr>
  </w:style>
  <w:style w:type="paragraph" w:styleId="Heading1">
    <w:name w:val="heading 1"/>
    <w:basedOn w:val="Normal"/>
    <w:next w:val="Normal"/>
    <w:qFormat/>
    <w:rsid w:val="007B25EB"/>
    <w:pPr>
      <w:numPr>
        <w:numId w:val="1"/>
      </w:numPr>
      <w:ind w:left="567" w:hanging="567"/>
      <w:outlineLvl w:val="0"/>
    </w:pPr>
    <w:rPr>
      <w:kern w:val="28"/>
    </w:rPr>
  </w:style>
  <w:style w:type="paragraph" w:styleId="Heading2">
    <w:name w:val="heading 2"/>
    <w:basedOn w:val="Normal"/>
    <w:next w:val="Normal"/>
    <w:qFormat/>
    <w:rsid w:val="007B25EB"/>
    <w:pPr>
      <w:numPr>
        <w:ilvl w:val="1"/>
        <w:numId w:val="1"/>
      </w:numPr>
      <w:ind w:left="567" w:hanging="567"/>
      <w:outlineLvl w:val="1"/>
    </w:pPr>
  </w:style>
  <w:style w:type="paragraph" w:styleId="Heading3">
    <w:name w:val="heading 3"/>
    <w:basedOn w:val="Normal"/>
    <w:next w:val="Normal"/>
    <w:qFormat/>
    <w:rsid w:val="007B25EB"/>
    <w:pPr>
      <w:numPr>
        <w:ilvl w:val="2"/>
        <w:numId w:val="1"/>
      </w:numPr>
      <w:ind w:left="567" w:hanging="567"/>
      <w:outlineLvl w:val="2"/>
    </w:pPr>
  </w:style>
  <w:style w:type="paragraph" w:styleId="Heading4">
    <w:name w:val="heading 4"/>
    <w:basedOn w:val="Normal"/>
    <w:next w:val="Normal"/>
    <w:qFormat/>
    <w:rsid w:val="007B25EB"/>
    <w:pPr>
      <w:numPr>
        <w:ilvl w:val="3"/>
        <w:numId w:val="1"/>
      </w:numPr>
      <w:ind w:left="567" w:hanging="567"/>
      <w:outlineLvl w:val="3"/>
    </w:pPr>
  </w:style>
  <w:style w:type="paragraph" w:styleId="Heading5">
    <w:name w:val="heading 5"/>
    <w:basedOn w:val="Normal"/>
    <w:next w:val="Normal"/>
    <w:qFormat/>
    <w:rsid w:val="007B25EB"/>
    <w:pPr>
      <w:numPr>
        <w:ilvl w:val="4"/>
        <w:numId w:val="1"/>
      </w:numPr>
      <w:ind w:left="567" w:hanging="567"/>
      <w:outlineLvl w:val="4"/>
    </w:pPr>
  </w:style>
  <w:style w:type="paragraph" w:styleId="Heading6">
    <w:name w:val="heading 6"/>
    <w:basedOn w:val="Normal"/>
    <w:next w:val="Normal"/>
    <w:qFormat/>
    <w:rsid w:val="007B25EB"/>
    <w:pPr>
      <w:numPr>
        <w:ilvl w:val="5"/>
        <w:numId w:val="1"/>
      </w:numPr>
      <w:ind w:left="567" w:hanging="567"/>
      <w:outlineLvl w:val="5"/>
    </w:pPr>
  </w:style>
  <w:style w:type="paragraph" w:styleId="Heading7">
    <w:name w:val="heading 7"/>
    <w:basedOn w:val="Normal"/>
    <w:next w:val="Normal"/>
    <w:qFormat/>
    <w:rsid w:val="007B25EB"/>
    <w:pPr>
      <w:numPr>
        <w:ilvl w:val="6"/>
        <w:numId w:val="1"/>
      </w:numPr>
      <w:ind w:left="567" w:hanging="567"/>
      <w:outlineLvl w:val="6"/>
    </w:pPr>
  </w:style>
  <w:style w:type="paragraph" w:styleId="Heading8">
    <w:name w:val="heading 8"/>
    <w:basedOn w:val="Normal"/>
    <w:next w:val="Normal"/>
    <w:qFormat/>
    <w:rsid w:val="007B25EB"/>
    <w:pPr>
      <w:numPr>
        <w:ilvl w:val="7"/>
        <w:numId w:val="1"/>
      </w:numPr>
      <w:ind w:left="567" w:hanging="567"/>
      <w:outlineLvl w:val="7"/>
    </w:pPr>
  </w:style>
  <w:style w:type="paragraph" w:styleId="Heading9">
    <w:name w:val="heading 9"/>
    <w:basedOn w:val="Normal"/>
    <w:next w:val="Normal"/>
    <w:qFormat/>
    <w:rsid w:val="007B25EB"/>
    <w:pPr>
      <w:numPr>
        <w:ilvl w:val="8"/>
        <w:numId w:val="1"/>
      </w:numPr>
      <w:ind w:left="567" w:hanging="567"/>
      <w:outlineLvl w:val="8"/>
    </w:pPr>
  </w:style>
  <w:style w:type="character" w:default="1" w:styleId="DefaultParagraphFont">
    <w:name w:val="Default Paragraph Font"/>
    <w:uiPriority w:val="1"/>
    <w:semiHidden/>
    <w:unhideWhenUsed/>
    <w:rsid w:val="007B25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25EB"/>
  </w:style>
  <w:style w:type="paragraph" w:styleId="Footer">
    <w:name w:val="footer"/>
    <w:basedOn w:val="Normal"/>
    <w:link w:val="FooterChar"/>
    <w:uiPriority w:val="99"/>
    <w:qFormat/>
    <w:rsid w:val="007B25EB"/>
  </w:style>
  <w:style w:type="paragraph" w:styleId="FootnoteText">
    <w:name w:val="footnote text"/>
    <w:basedOn w:val="Normal"/>
    <w:qFormat/>
    <w:rsid w:val="007B25EB"/>
    <w:pPr>
      <w:keepLines/>
      <w:spacing w:after="60"/>
      <w:ind w:left="567" w:hanging="567"/>
    </w:pPr>
    <w:rPr>
      <w:sz w:val="16"/>
    </w:rPr>
  </w:style>
  <w:style w:type="paragraph" w:styleId="Header">
    <w:name w:val="header"/>
    <w:basedOn w:val="Normal"/>
    <w:qFormat/>
    <w:rsid w:val="007B25EB"/>
  </w:style>
  <w:style w:type="paragraph" w:customStyle="1" w:styleId="quotes">
    <w:name w:val="quotes"/>
    <w:basedOn w:val="Normal"/>
    <w:next w:val="Normal"/>
    <w:rsid w:val="007B25EB"/>
    <w:pPr>
      <w:ind w:left="720"/>
    </w:pPr>
    <w:rPr>
      <w:i/>
    </w:rPr>
  </w:style>
  <w:style w:type="character" w:styleId="FootnoteReference">
    <w:name w:val="footnote reference"/>
    <w:basedOn w:val="DefaultParagraphFont"/>
    <w:unhideWhenUsed/>
    <w:qFormat/>
    <w:rsid w:val="007B25EB"/>
    <w:rPr>
      <w:sz w:val="24"/>
      <w:vertAlign w:val="superscript"/>
    </w:rPr>
  </w:style>
  <w:style w:type="character" w:customStyle="1" w:styleId="Bodytext3">
    <w:name w:val="Body text|3_"/>
    <w:basedOn w:val="DefaultParagraphFont"/>
    <w:link w:val="Bodytext30"/>
    <w:rsid w:val="007B25EB"/>
    <w:rPr>
      <w:rFonts w:ascii="Arial" w:eastAsia="Arial" w:hAnsi="Arial" w:cs="Arial"/>
      <w:b/>
      <w:bCs/>
      <w:sz w:val="36"/>
      <w:szCs w:val="36"/>
      <w:shd w:val="clear" w:color="auto" w:fill="FFFFFF"/>
    </w:rPr>
  </w:style>
  <w:style w:type="character" w:customStyle="1" w:styleId="Bodytext4">
    <w:name w:val="Body text|4_"/>
    <w:basedOn w:val="DefaultParagraphFont"/>
    <w:link w:val="Bodytext40"/>
    <w:rsid w:val="007B25EB"/>
    <w:rPr>
      <w:b/>
      <w:bCs/>
      <w:shd w:val="clear" w:color="auto" w:fill="FFFFFF"/>
    </w:rPr>
  </w:style>
  <w:style w:type="character" w:customStyle="1" w:styleId="Bodytext2">
    <w:name w:val="Body text|2_"/>
    <w:basedOn w:val="DefaultParagraphFont"/>
    <w:rsid w:val="007B25EB"/>
    <w:rPr>
      <w:b w:val="0"/>
      <w:bCs w:val="0"/>
      <w:i w:val="0"/>
      <w:iCs w:val="0"/>
      <w:smallCaps w:val="0"/>
      <w:strike w:val="0"/>
      <w:sz w:val="22"/>
      <w:szCs w:val="22"/>
      <w:u w:val="none"/>
    </w:rPr>
  </w:style>
  <w:style w:type="character" w:customStyle="1" w:styleId="Bodytext20">
    <w:name w:val="Body text|2"/>
    <w:basedOn w:val="Bodytext2"/>
    <w:semiHidden/>
    <w:unhideWhenUsed/>
    <w:rsid w:val="007B25EB"/>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sl-SI" w:eastAsia="en-US" w:bidi="en-US"/>
    </w:rPr>
  </w:style>
  <w:style w:type="character" w:customStyle="1" w:styleId="Bodytext2Bold">
    <w:name w:val="Body text|2 + Bold"/>
    <w:basedOn w:val="Bodytext2"/>
    <w:semiHidden/>
    <w:unhideWhenUsed/>
    <w:rsid w:val="007B25EB"/>
    <w:rPr>
      <w:rFonts w:ascii="Times New Roman" w:eastAsia="Times New Roman" w:hAnsi="Times New Roman" w:cs="Times New Roman"/>
      <w:b/>
      <w:bCs/>
      <w:i w:val="0"/>
      <w:iCs w:val="0"/>
      <w:smallCaps w:val="0"/>
      <w:strike w:val="0"/>
      <w:color w:val="000000"/>
      <w:spacing w:val="0"/>
      <w:w w:val="100"/>
      <w:position w:val="0"/>
      <w:sz w:val="22"/>
      <w:szCs w:val="22"/>
      <w:u w:val="none"/>
      <w:lang w:val="sl-SI" w:eastAsia="en-US" w:bidi="en-US"/>
    </w:rPr>
  </w:style>
  <w:style w:type="character" w:customStyle="1" w:styleId="Bodytext6">
    <w:name w:val="Body text|6_"/>
    <w:basedOn w:val="DefaultParagraphFont"/>
    <w:link w:val="Bodytext60"/>
    <w:rsid w:val="007B25EB"/>
    <w:rPr>
      <w:b/>
      <w:bCs/>
      <w:shd w:val="clear" w:color="auto" w:fill="FFFFFF"/>
    </w:rPr>
  </w:style>
  <w:style w:type="paragraph" w:customStyle="1" w:styleId="Bodytext30">
    <w:name w:val="Body text|3"/>
    <w:basedOn w:val="Normal"/>
    <w:link w:val="Bodytext3"/>
    <w:rsid w:val="007B25EB"/>
    <w:pPr>
      <w:shd w:val="clear" w:color="auto" w:fill="FFFFFF"/>
      <w:spacing w:after="620" w:line="402" w:lineRule="exact"/>
    </w:pPr>
    <w:rPr>
      <w:rFonts w:ascii="Arial" w:eastAsia="Arial" w:hAnsi="Arial" w:cs="Arial"/>
      <w:b/>
      <w:bCs/>
      <w:color w:val="auto"/>
      <w:sz w:val="36"/>
      <w:szCs w:val="36"/>
      <w:lang w:val="en-US" w:bidi="ar-SA"/>
    </w:rPr>
  </w:style>
  <w:style w:type="paragraph" w:customStyle="1" w:styleId="Bodytext40">
    <w:name w:val="Body text|4"/>
    <w:basedOn w:val="Normal"/>
    <w:link w:val="Bodytext4"/>
    <w:rsid w:val="007B25EB"/>
    <w:pPr>
      <w:shd w:val="clear" w:color="auto" w:fill="FFFFFF"/>
      <w:spacing w:line="269" w:lineRule="exact"/>
      <w:jc w:val="both"/>
    </w:pPr>
    <w:rPr>
      <w:b/>
      <w:bCs/>
      <w:color w:val="auto"/>
      <w:sz w:val="22"/>
      <w:szCs w:val="22"/>
      <w:lang w:val="en-US" w:bidi="ar-SA"/>
    </w:rPr>
  </w:style>
  <w:style w:type="paragraph" w:customStyle="1" w:styleId="Bodytext60">
    <w:name w:val="Body text|6"/>
    <w:basedOn w:val="Normal"/>
    <w:link w:val="Bodytext6"/>
    <w:rsid w:val="007B25EB"/>
    <w:pPr>
      <w:shd w:val="clear" w:color="auto" w:fill="FFFFFF"/>
      <w:spacing w:before="120" w:line="269" w:lineRule="exact"/>
    </w:pPr>
    <w:rPr>
      <w:b/>
      <w:bCs/>
      <w:color w:val="auto"/>
      <w:sz w:val="22"/>
      <w:szCs w:val="22"/>
      <w:lang w:val="en-US" w:bidi="ar-SA"/>
    </w:rPr>
  </w:style>
  <w:style w:type="character" w:customStyle="1" w:styleId="FooterChar">
    <w:name w:val="Footer Char"/>
    <w:basedOn w:val="DefaultParagraphFont"/>
    <w:link w:val="Footer"/>
    <w:uiPriority w:val="99"/>
    <w:rsid w:val="007B25EB"/>
  </w:style>
  <w:style w:type="character" w:styleId="Hyperlink">
    <w:name w:val="Hyperlink"/>
    <w:basedOn w:val="DefaultParagraphFont"/>
    <w:uiPriority w:val="99"/>
    <w:unhideWhenUsed/>
    <w:rsid w:val="007B25E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windows-1250"/>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CTJJHAUHWN5E-644613129-1589</_dlc_DocId>
    <_dlc_DocIdUrl xmlns="bfc960a6-20da-4c94-8684-71380fca093b">
      <Url>http://dm2016/eesc/2019/_layouts/15/DocIdRedir.aspx?ID=CTJJHAUHWN5E-644613129-1589</Url>
      <Description>CTJJHAUHWN5E-644613129-1589</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ssierName_0 xmlns="http://schemas.microsoft.com/sharepoint/v3/fields">
      <Terms xmlns="http://schemas.microsoft.com/office/infopath/2007/PartnerControls"/>
    </DossierNam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2019-12-04T12:00:00+00:00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Value>
      <Value>246</Value>
      <Value>21</Value>
      <Value>56</Value>
      <Value>152</Value>
      <Value>17</Value>
      <Value>153</Value>
      <Value>162</Value>
      <Value>11</Value>
      <Value>45</Value>
      <Value>7</Value>
      <Value>154</Value>
      <Value>5</Value>
      <Value>4</Value>
      <Value>2</Value>
      <Value>38</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SL</TermName>
          <TermId xmlns="http://schemas.microsoft.com/office/infopath/2007/PartnerControls">98a412ae-eb01-49e9-ae3d-585a81724cfc</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11384</FicheNumber>
    <DocumentPart xmlns="bfc960a6-20da-4c94-8684-71380fca093b">1</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cumentManagement>
</p:properties>
</file>

<file path=customXml/itemProps1.xml><?xml version="1.0" encoding="utf-8"?>
<ds:datastoreItem xmlns:ds="http://schemas.openxmlformats.org/officeDocument/2006/customXml" ds:itemID="{31EE5B76-B6A9-4C76-A8EB-FB8C598624A9}"/>
</file>

<file path=customXml/itemProps2.xml><?xml version="1.0" encoding="utf-8"?>
<ds:datastoreItem xmlns:ds="http://schemas.openxmlformats.org/officeDocument/2006/customXml" ds:itemID="{F73D3244-A493-4FA8-8BD0-22FD3FD02763}"/>
</file>

<file path=customXml/itemProps3.xml><?xml version="1.0" encoding="utf-8"?>
<ds:datastoreItem xmlns:ds="http://schemas.openxmlformats.org/officeDocument/2006/customXml" ds:itemID="{47338A34-CE43-48A0-894D-B9385CC4FDA5}"/>
</file>

<file path=customXml/itemProps4.xml><?xml version="1.0" encoding="utf-8"?>
<ds:datastoreItem xmlns:ds="http://schemas.openxmlformats.org/officeDocument/2006/customXml" ds:itemID="{CD199295-773D-432D-A1CC-7EE5623C78CE}"/>
</file>

<file path=docProps/app.xml><?xml version="1.0" encoding="utf-8"?>
<Properties xmlns="http://schemas.openxmlformats.org/officeDocument/2006/extended-properties" xmlns:vt="http://schemas.openxmlformats.org/officeDocument/2006/docPropsVTypes">
  <Template>Styles</Template>
  <TotalTime>16</TotalTime>
  <Pages>2</Pages>
  <Words>1173</Words>
  <Characters>6871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CESE-CdR</Company>
  <LinksUpToDate>false</LinksUpToDate>
  <CharactersWithSpaces>8028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Vaša Evropa, vaš glas 2020 - Delovni dokumenti_II. skupina_Oskrba s konvencionalno energijo</dc:title>
  <dc:creator>Tina Logar</dc:creator>
  <cp:keywords>EESC-2019-05163-01-00-INFO-TRA-EN</cp:keywords>
  <dc:description>Rapporteur:  - Original language: EN - Date of document: 04/12/2019 - Date of meeting:  - External documents:  - Administrator: MME LAHOUSSE Chloé</dc:description>
  <cp:lastModifiedBy>Tina Logar</cp:lastModifiedBy>
  <cp:revision>9</cp:revision>
  <dcterms:created xsi:type="dcterms:W3CDTF">2019-12-04T15:37:00Z</dcterms:created>
  <dcterms:modified xsi:type="dcterms:W3CDTF">2019-12-04T16:09:00Z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0x010100EA97B91038054C99906057A708A1480A004A07B7D2C585754B97D3BEF52E07EE2D</vt:lpwstr>
  </property>
  <property fmtid="{D5CDD505-2E9C-101B-9397-08002B2CF9AE}" pid="3" name="_dlc_DocIdItemGuid">
    <vt:lpwstr>21e85782-84c0-4399-8e3d-e2d916c1e9ff</vt:lpwstr>
  </property>
  <property fmtid="{D5CDD505-2E9C-101B-9397-08002B2CF9AE}" pid="4" name="AvailableTranslations">
    <vt:lpwstr>21;#IT|0774613c-01ed-4e5d-a25d-11d2388de825;#38;#SV|c2ed69e7-a339-43d7-8f22-d93680a92aa0;#152;#MK|34ce48bb-063e-4413-a932-50853dc71c5c;#45;#NL|55c6556c-b4f4-441d-9acf-c498d4f838bd;#162;#TR|6e4ededd-04c4-4fa0-94e0-1028050302d5;#17;#ES|e7a6b05b-ae16-40c8-add9-68b64b03aeba;#246;#ME|925b3da5-5ac0-4b3c-928c-6ef66a5c9b3c;#153;#SR|7f3a1d13-b985-4bfd-981e-afe31377edff;#4;#EN|f2175f21-25d7-44a3-96da-d6a61b075e1b;#154;#SQ|5ac17240-8d11-45ec-9893-659b209d7a00;#56;#SL|98a412ae-eb01-49e9-ae3d-585a81724cfc</vt:lpwstr>
  </property>
  <property fmtid="{D5CDD505-2E9C-101B-9397-08002B2CF9AE}" pid="5" name="DocumentType_0">
    <vt:lpwstr>INFO|d9136e7c-93a9-4c42-9d28-92b61e85f80c</vt:lpwstr>
  </property>
  <property fmtid="{D5CDD505-2E9C-101B-9397-08002B2CF9AE}" pid="6" name="DossierName_0">
    <vt:lpwstr/>
  </property>
  <property fmtid="{D5CDD505-2E9C-101B-9397-08002B2CF9AE}" pid="7" name="DocumentSource_0">
    <vt:lpwstr>EESC|422833ec-8d7e-4e65-8e4e-8bed07ffb729</vt:lpwstr>
  </property>
  <property fmtid="{D5CDD505-2E9C-101B-9397-08002B2CF9AE}" pid="8" name="DocumentNumber">
    <vt:i4>5163</vt:i4>
  </property>
  <property fmtid="{D5CDD505-2E9C-101B-9397-08002B2CF9AE}" pid="9" name="FicheYear">
    <vt:i4>2019</vt:i4>
  </property>
  <property fmtid="{D5CDD505-2E9C-101B-9397-08002B2CF9AE}" pid="10" name="DocumentYear">
    <vt:i4>2019</vt:i4>
  </property>
  <property fmtid="{D5CDD505-2E9C-101B-9397-08002B2CF9AE}" pid="11" name="DocumentVersion">
    <vt:i4>0</vt:i4>
  </property>
  <property fmtid="{D5CDD505-2E9C-101B-9397-08002B2CF9AE}" pid="12" name="FicheNumber">
    <vt:i4>11384</vt:i4>
  </property>
  <property fmtid="{D5CDD505-2E9C-101B-9397-08002B2CF9AE}" pid="13" name="DocumentStatus">
    <vt:lpwstr>2;#TRA|150d2a88-1431-44e6-a8ca-0bb753ab8672</vt:lpwstr>
  </property>
  <property fmtid="{D5CDD505-2E9C-101B-9397-08002B2CF9AE}" pid="14" name="DocumentPart">
    <vt:i4>1</vt:i4>
  </property>
  <property fmtid="{D5CDD505-2E9C-101B-9397-08002B2CF9AE}" pid="15" name="DossierName">
    <vt:lpwstr/>
  </property>
  <property fmtid="{D5CDD505-2E9C-101B-9397-08002B2CF9AE}" pid="16" name="DocumentSource">
    <vt:lpwstr>1;#EESC|422833ec-8d7e-4e65-8e4e-8bed07ffb729</vt:lpwstr>
  </property>
  <property fmtid="{D5CDD505-2E9C-101B-9397-08002B2CF9AE}" pid="18" name="DocumentType">
    <vt:lpwstr>11;#INFO|d9136e7c-93a9-4c42-9d28-92b61e85f80c</vt:lpwstr>
  </property>
  <property fmtid="{D5CDD505-2E9C-101B-9397-08002B2CF9AE}" pid="19" name="RequestingService">
    <vt:lpwstr>Visites / Publications</vt:lpwstr>
  </property>
  <property fmtid="{D5CDD505-2E9C-101B-9397-08002B2CF9AE}" pid="20" name="Confidentiality">
    <vt:lpwstr>5;#Unrestricted|826e22d7-d029-4ec0-a450-0c28ff673572</vt:lpwstr>
  </property>
  <property fmtid="{D5CDD505-2E9C-101B-9397-08002B2CF9AE}" pid="21" name="MeetingName_0">
    <vt:lpwstr/>
  </property>
  <property fmtid="{D5CDD505-2E9C-101B-9397-08002B2CF9AE}" pid="22" name="Confidentiality_0">
    <vt:lpwstr>Unrestricted|826e22d7-d029-4ec0-a450-0c28ff673572</vt:lpwstr>
  </property>
  <property fmtid="{D5CDD505-2E9C-101B-9397-08002B2CF9AE}" pid="23" name="OriginalLanguage">
    <vt:lpwstr>4;#EN|f2175f21-25d7-44a3-96da-d6a61b075e1b</vt:lpwstr>
  </property>
  <property fmtid="{D5CDD505-2E9C-101B-9397-08002B2CF9AE}" pid="24" name="MeetingName">
    <vt:lpwstr/>
  </property>
  <property fmtid="{D5CDD505-2E9C-101B-9397-08002B2CF9AE}" pid="26" name="AvailableTranslations_0">
    <vt:lpwstr>IT|0774613c-01ed-4e5d-a25d-11d2388de825;SV|c2ed69e7-a339-43d7-8f22-d93680a92aa0;MK|34ce48bb-063e-4413-a932-50853dc71c5c;NL|55c6556c-b4f4-441d-9acf-c498d4f838bd;TR|6e4ededd-04c4-4fa0-94e0-1028050302d5;ES|e7a6b05b-ae16-40c8-add9-68b64b03aeba;ME|925b3da5-5ac0-4b3c-928c-6ef66a5c9b3c;SR|7f3a1d13-b985-4bfd-981e-afe31377edff;EN|f2175f21-25d7-44a3-96da-d6a61b075e1b;SQ|5ac17240-8d11-45ec-9893-659b209d7a00</vt:lpwstr>
  </property>
  <property fmtid="{D5CDD505-2E9C-101B-9397-08002B2CF9AE}" pid="27" name="DocumentStatus_0">
    <vt:lpwstr>TRA|150d2a88-1431-44e6-a8ca-0bb753ab8672</vt:lpwstr>
  </property>
  <property fmtid="{D5CDD505-2E9C-101B-9397-08002B2CF9AE}" pid="28" name="OriginalLanguage_0">
    <vt:lpwstr>EN|f2175f21-25d7-44a3-96da-d6a61b075e1b</vt:lpwstr>
  </property>
  <property fmtid="{D5CDD505-2E9C-101B-9397-08002B2CF9AE}" pid="29" name="TaxCatchAll">
    <vt:lpwstr>1;#EESC|422833ec-8d7e-4e65-8e4e-8bed07ffb729;#246;#ME|925b3da5-5ac0-4b3c-928c-6ef66a5c9b3c;#21;#IT|0774613c-01ed-4e5d-a25d-11d2388de825;#152;#MK|34ce48bb-063e-4413-a932-50853dc71c5c;#17;#ES|e7a6b05b-ae16-40c8-add9-68b64b03aeba;#153;#SR|7f3a1d13-b985-4bfd-981e-afe31377edff;#162;#TR|6e4ededd-04c4-4fa0-94e0-1028050302d5;#11;#INFO|d9136e7c-93a9-4c42-9d28-92b61e85f80c;#45;#NL|55c6556c-b4f4-441d-9acf-c498d4f838bd;#7;#Final|ea5e6674-7b27-4bac-b091-73adbb394efe;#154;#SQ|5ac17240-8d11-45ec-9893-659b209d7a00;#5;#Unrestricted|826e22d7-d029-4ec0-a450-0c28ff673572;#4;#EN|f2175f21-25d7-44a3-96da-d6a61b075e1b;#2;#TRA|150d2a88-1431-44e6-a8ca-0bb753ab8672;#38;#SV|c2ed69e7-a339-43d7-8f22-d93680a92aa0</vt:lpwstr>
  </property>
  <property fmtid="{D5CDD505-2E9C-101B-9397-08002B2CF9AE}" pid="30" name="VersionStatus_0">
    <vt:lpwstr>Final|ea5e6674-7b27-4bac-b091-73adbb394efe</vt:lpwstr>
  </property>
  <property fmtid="{D5CDD505-2E9C-101B-9397-08002B2CF9AE}" pid="31" name="VersionStatus">
    <vt:lpwstr>7;#Final|ea5e6674-7b27-4bac-b091-73adbb394efe</vt:lpwstr>
  </property>
  <property fmtid="{D5CDD505-2E9C-101B-9397-08002B2CF9AE}" pid="32" name="DocumentLanguage">
    <vt:lpwstr>56;#SL|98a412ae-eb01-49e9-ae3d-585a81724cfc</vt:lpwstr>
  </property>
</Properties>
</file>